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评估报告范文精选</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评估报告范文精选篇一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根据&amp;lt;县人民政府办公室关于开展全年目标绩效考核预评估的通知&gt;(府办发[20__]120号)精神，现将我局20__年1-9月目标任务完成情况汇报如下:</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(府办发[20__]120号)精神，现将我局20__年1-9月目标任务完成情况汇报如下:</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一、重点项目目标完成情况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目标任务:县中坝水库完成投资4000万元，争取年底前开工建设。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完成情况:1-9月完成投资1300万元(勘测设计等前期投入);1月10日前已全部完成项目可研、初设及环评、立项等所有前期工作，资料已报省、市烟草局，获得了钟勉常务副省长和李登菊的支持签批。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存在问题:由于国家烟草局投资调整和总局相关领导调整，所有项目暂停审查，故该项目至今未能下达投资计划。恳请市上在考核时充分考虑客观因素。</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二、民生工程目标完成情况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(一)目标任务:小农水新增有效灌面1、2万亩，新增节水灌面1、85万亩。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完成情况:1-9月已完成新增灌溉面积1、3万亩，完成目标任务的108%;新增节水灌溉面积1、99万亩，完成目标任务的107、6%。</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(二)目标任务:实施中小河流治理项目1个、综合治理河道3、5公里。</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完成情况:1-9月，已完成中小河流治理项目2个，综合治理河道5、3公里(其中镇河防洪堤3、5公里，中都镇中都河防洪堤1、8公里)，完成目标任务的151%。</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(三)目标任务:解决1万农村人口饮水安全问题。</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完成情况:1-9月已完成1、5万人，完成目标任务的150%，预计年底前完成2、99万人。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三、招商引资目标完成情况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目标任务:完成协议引资10000万元，到位资金5000万元，包装项目5个。</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完成情况: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(一)1-9月完成协议引资1、83亿元，完成目标任务的183%。其中协议争取国家烟草局对中坝水库进行投入1、29亿元未到位，其他项目已到位资金5400万元。</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(二)1-9月实际到位资金5400万元，完成目标任务的108%(其中，安全饮水投资1600万元;水保坡耕地治理投资1000万元;小型农田水利投资1400万元;江、采砂业主投资1400万元)。</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(三)1-9月包装项目5个，完成目标任务的100%。分别是即:20__年-2016年坡耕地水土流失综合治理项目;乡中小河流防洪堤项目;新县城供水项目;新县城污水处理厂项;金江特色养殖项目。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四、第四季度工作措施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(一)围绕目标，进一步强化责任。将目标任务进一步明确局领导和股室责任，严格实行目标奖惩。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(二)找准差距，进一步强化措施。进一步加强对上汇报和争取，进一步加强协作配合，确保全年目标任务完成。</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评估报告范文精选篇二</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20__年以来，我们坚持以科学发展观为指导，紧紧围绕</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建设世界旅游精品</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目标和</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三年有改观，五年大变样</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建设纲要的要求，深入贯彻落实市</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商务发展规划，突出重点，狠抓各项工作的全面开展，推动全市商务工作步入了快速发展轨道，为在20__年全面实现我市</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商务发展规划目标奠定了坚实的基础。现根据近几年的实际发展情况，对我市</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商务发展规划进行中期评估。</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一、主要目标及任务的进展情况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(一)、社会消费品零售总额:</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发展目标为20__年达到65、2亿元人民币。20__年完成42、14亿元，20__年已达49、18亿元人民币，20__年1-6月共完成社会消费品零售总额25、48亿元，完成年计划的44%，与上年同期比较增长17、4%。按照17%的增幅，到2009年可达67、86亿元，超过</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目标。到20__年可实现社会消费品零售总额79、4亿元。</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(二)、市场体系建设:</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发展目标为市城区改扩建市场13处，新增营业面积18万㎡，其中农产品批发大市场1个，营业面积8万㎡;改扩建农村集贸市场19个，新增营业面积2万㎡;建物流配送中心2处，总建筑面积5000㎡。至20__年6月止，市城区已改扩建市场5处，新增营业面积8万㎡，其中农产品批发大市场正在筹建中;改扩建农村集贸市场6个，新增营业面积1万㎡;建物流配送中心2处，总建筑面积15000㎡。</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(三)、对外贸易:</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发展目标为20__年至20__年累计进出口总额6950万美元，其中累计出口总额5750万美元，至20__年年出口商品1800万美元。进展情况为，20__年至20__年6月，实际已累计完成进出口总额1624万美元(20__年、20__年、20__年1-6月分别为468万美元、744万美元、412万美元)，其中累计出口总额1593万美元(20__年、20__年、20__年1-6月分别为467万美元、714万美元、412万美元)。按照上述增幅，到20__年难以完成发展目标。</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(四)、招商引资: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发展目标为，20__年至20__年新批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三资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企业80家，累计实际利用外资7700万美元。进展情况为，20__年至20__年6月，累计已批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三资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企业33家，累计实际利用外资4663万美元(20__年、20__年、20__年1-6月分别为1233万美元、1908、26万美元、1522万美元)，已完成</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目标的60、56%。预计到20__年可超额完成</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发展目标。</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(五)、对外经济技术合作:</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发展目标为，外派劳务累计500人次，争取国际无偿援助项目2个，</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走出去</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到境外办企业1家。进展情况为，20__年至20__年6月，外派劳务累计已达538人次(其中20__年、20__年、20__年1-6月分别为203人次、165人次、170人次)，超额完成了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十二五</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发展目标。但争取国际无偿援助项目和到境外办企业还没实现，需要进一步努力。</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二、主要工作情况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商贸流通休闲服务基础设施建设得到了较快发展。几年来，大庸府城、文昌阁商贸城、唱享天下、金御兰湾、华天酒店、武龙酒店、梅尼百货等商贸流通休闲服务场所先后竣工开业，特别是华天酒店的开业，肯德基、火宫殿等外地知名企业入驻，促进了我市特色餐饮业的发展。现在，不仅本土流通企业得到了较快发展，如梅尼商贸有限公司、芙蓉实业有限公司、广和购物中心、弘力商业广场、家家红商贸有限公司、紫霞商业广场等，已经成为我市实力较强的流通主体，而且市外知名流通企业也进驻我市并得到了较快发展，如步步高、新一佳超市等;随着我市流通基础设施的进一步完善，外商纷纷看好，我市一些有实力的商家已经成为国内农资、建材、副食品等知名品牌商品的一级代理商，90%的国内知名品牌在我市设立了总经销，辐射到湘西、鄂西、渝东和黔东北地区，我市逐步形成了湘鄂渝黔边区的商贸中心和物流中心。</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市场调控机制逐步完善，市场监测和行业监管得到加强。一是在完善市场运行监测系统的基础上，开展了市场运行情况网上直报，为有效实施市场运行监测与调控奠定了基础;二是加强了生猪定点屠宰管理。在整顿生猪定点屠宰场所和队伍的基础上，加强了稽查执法，规范了肉品市场供应秩序。三是加强了酒类市场管理。在全市范围内大张旗鼓地宣传贯彻了国家商务部&amp;lt;酒类流通管理办法&gt;和&amp;lt;湖南省酒类管理条例&gt;，对酒类批发企业，零售商户进行了调查摸底和备案登记，并严格行政许可，把住了酒类批发市场准入关，开展了酒类市场执法检查，对销售假酒的企业追根塑源进行了查处，确保酒类消费安全;四是加强了成品油市场监管。按照&amp;lt;行政许可法&gt;和&amp;lt;成品油市场管理办法&gt;，严格成品油零售企业初审程序;同时，我们还编制了&amp;lt;市成品油仓储设施行业发展规划(20__</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2020)&gt;，提请市人民政府出台了&amp;lt;关于进一步加强成品油市场管理的通知&gt;和&amp;lt;市成品油供应中断应急预案&gt;;五是加强了典当、拍卖、废旧汽车拆解市场等特种行业的市场监管。六是开展了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和&amp;lt;湖南省酒类管理条例&gt;，对酒类批发企业，零售商户进行了调查摸底和备案登记，并严格行政许可，把住了酒类批发市场准入关，开展了酒类市场执法检查，对销售假酒的企业追根塑源进行了查处，确保酒类消费安全;四是加强了成品油市场监管。按照&amp;lt;行政许可法&gt;和&amp;lt;成品油市场管理办法&gt;，严格成品油零售企业初审程序;同时，我们还编制了&amp;lt;市成品油仓储设施行业发展规划(20__</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2020)&gt;，提请市人民政府出台了&amp;lt;关于进一步加强成品油市场管理的通知&gt;和&amp;lt;市成品油供应中断应急预案&gt;;五是加强了典当、拍卖、废旧汽车拆解市场等特种行业的市场监管。六是开展了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对酒类批发企业，零售商户进行了调查摸底和备案登记，并严格行政许可，把住了酒类批发市场准入关，开展了酒类市场执法检查，对销售假酒的企业追根塑源进行了查处，确保酒类消费安全;四是加强了成品油市场监管。按照&amp;lt;行政许可法&gt;和&amp;lt;成品油市场管理办法&gt;，严格成品油零售企业初审程序;同时，我们还编制了&amp;lt;市成品油仓储设施行业发展规划(20__</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2020)&gt;，提请市人民政府出台了&amp;lt;关于进一步加强成品油市场管理的通知&gt;和&amp;lt;市成品油供应中断应急预案&gt;;五是加强了典当、拍卖、废旧汽车拆解市场等特种行业的市场监管。六是开展了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和&amp;lt;成品油市场管理办法&gt;，严格成品油零售企业初审程序;同时，我们还编制了&amp;lt;市成品油仓储设施行业发展规划(20__</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2020)&gt;，提请市人民政府出台了&amp;lt;关于进一步加强成品油市场管理的通知&gt;和&amp;lt;市成品油供应中断应急预案&gt;;五是加强了典当、拍卖、废旧汽车拆解市场等特种行业的市场监管。六是开展了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，严格成品油零售企业初审程序;同时，我们还编制了&amp;lt;市成品油仓储设施行业发展规划(20__</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2020)&gt;，提请市人民政府出台了&amp;lt;关于进一步加强成品油市场管理的通知&gt;和&amp;lt;市成品油供应中断应急预案&gt;;五是加强了典当、拍卖、废旧汽车拆解市场等特种行业的市场监管。六是开展了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，提请市人民政府出台了&amp;lt;关于进一步加强成品油市场管理的通知&gt;和&amp;lt;市成品油供应中断应急预案&gt;;五是加强了典当、拍卖、废旧汽车拆解市场等特种行业的市场监管。六是开展了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和&amp;lt;市成品油供应中断应急预案&gt;;五是加强了典当、拍卖、废旧汽车拆解市场等特种行业的市场监管。六是开展了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;五是加强了典当、拍卖、废旧汽车拆解市场等特种行业的市场监管。六是开展了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。确定了全市第一批</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的示范店10个，示范街1条、示范市场1家，报省批准省级授牌的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百城万店无假货活动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示范店2个、示范街1条，保留原批的省级示范店1个、示范街1条。</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(三)、以实施</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万村千乡</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工程为契机，加强了市场体系建设。经过积极申报争取，全市3个区县(永定、慈利、桑植)都被列入了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万村千乡</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工程试点县区，4家企业(金地农资有限公司、天成量贩、慈利县芙蓉实业有限公司、桑植县家家红商贸有限公司)为试点企业。两年多来，我们以质量、效益为首选条件，大力加强了农家店建设，促进了农村消费环境的改善。到20__年6月，全市共计兴办农家店484家。在农家店建设中，各区县都严格按照商务部&amp;lt;农家店建设与改造规范&gt;、&amp;lt;农资农家店建设与改造规范&gt;执行。所有连锁、加盟方式的农家店的门店形象、广告宣传、货柜货架、商品陈列等都达到了统一标准要求;其次，完成了&amp;lt;市城区商业网点规划&gt;的修改、补充，已经报请市政府批准实施。依照&amp;lt;市城区商业网点规划&gt;，推动武陵源区和慈利、桑植两县着手编制本地中心商业区规划;再次，完成了市农产品批发市场的规划和选址工作，并已经报请市政府常务会议批准了建设方案，正在加紧着手实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amp;lt;农资农家店建设与改造规范&gt;执行。所有连锁、加盟方式的农家店的门店形象、广告宣传、货柜货架、商品陈列等都达到了统一标准要求;其次，完成了&amp;lt;市城区商业网点规划&gt;的修改、补充，已经报请市政府批准实施。依照&amp;lt;市城区商业网点规划&gt;，推动武陵源区和慈利、桑植两县着手编制本地中心商业区规划;再次，完成了市农产品批发市场的规划和选址工作，并已经报请市政府常务会议批准了建设方案，正在加紧着手实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执行。所有连锁、加盟方式的农家店的门店形象、广告宣传、货柜货架、商品陈列等都达到了统一标准要求;其次，完成了&amp;lt;市城区商业网点规划&gt;的修改、补充，已经报请市政府批准实施。依照&amp;lt;市城区商业网点规划&gt;，推动武陵源区和慈利、桑植两县着手编制本地中心商业区规划;再次，完成了市农产品批发市场的规划和选址工作，并已经报请市政府常务会议批准了建设方案，正在加紧着手实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的修改、补充，已经报请市政府批准实施。依照&amp;lt;市城区商业网点规划&gt;，推动武陵源区和慈利、桑植两县着手编制本地中心商业区规划;再次，完成了市农产品批发市场的规划和选址工作，并已经报请市政府常务会议批准了建设方案，正在加紧着手实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，推动武陵源区和慈利、桑植两县着手编制本地中心商业区规划;再次，完成了市农产品批发市场的规划和选址工作，并已经报请市政府常务会议批准了建设方案，正在加紧着手实施。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(四)、努力实施</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走出去</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战略，不断加强外经外贸工作。近两年，我市的外经外贸工作有了新的起色，美达制衣有限公司、硕鸿鞋业有限公司、贸源化工有限公司均具有较好的发展潜力。甘薯生产基地、葛根生产基地、五蓓子生产基地和山野菜生产基地等农产品生产开发基地得到了较快发展。我们组织企业参加了国家商务部举办的各种贸易博览会，拓展了外贸市场。我市佳乐机械制造公司与越南、缅甸、文莱等国的采购商达成了商品供销协议，外贸势头很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五)、扩大对外开放，广泛招商引资，推动我市经济发展。我们先后组织了旅游商品博览会、流通业发展对外招商项目推介会等活动，先后组团参加了深洽会、湘洽会、港洽周、珠洽会、中博会、南博会、厦博会、湘商大会、沪洽周等活动。在历次活动中，我们采取多种方式，开展招商引资，取得了显著成效。利用外资的规模由21、7万美元增长到1908万美元。20__年上半年实际利用外资1500万美元，创历史最好水平。黄石寨索道、天子山索道、天门山索道、百龙电梯、黄龙洞、宝峰湖、龙王洞等旅游基础设施都是通过招商引资开发建设起来的，有力地提升了旅游景点和城市品位。今年，我们以引进战略投资者为重点开展招商引资工作，积极组织参加招商引资活动。在国际森保节期间，组织6家企业举行了投资洽谈会;4月26日，组团参加了在武汉举行的第三届中部博览会;6月16</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21日，组团参加了在上海举行的湖南(上海)投资洽谈活动周。我市有3个项目在省情推介暨重点合作项目签约仪式上成功签约，合同利用外资0、71亿美元，合同利用内资6亿元人民币。6月19日，以</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绝美，新兴旅游城</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为主题，我市在上海国际会议中心举行了湖南(上海)投资说明会，共发布招商项目138个，有16个项目成功签约。加上省级签约项目，投资总额达到124、81亿元，其中省外境内资金签约项目15个，投资总额102、91亿元;外资签约项目4个，投资金额3、13亿美元。同时，按市政府的要求，积极配合有关部门狠抓了投资环境的调查和整治，组织召开了全市外来投资商座谈会，开展了外资企业跟踪调查，为优化和改善投资环境做了大量工作。</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六)、积极做好宏观调控，切实保障市场供应。在今年年初的冰雪灾害期间，全市商务系统干部职工奋起抗灾，加强调度，适时掌握各类市场信息，积极搞好与各部门的协调配合。争取省商务厅、财政厅下拨各类救灾资金，及时调运生活必需品24000多吨，保障了城市节日市场供应。同时，还在全市商务系统开展了灾后重建和生产恢复工作。在成品油供应紧张时期，组织协调中石油和中石化两家国有企业多方争取资源，为成品油供应企业搞好服务，积极争取公安交警和工商物价等部门的大力配合，采取行之有效的措施，维护加油站正常的经营秩序，基本上保障了成品油市场供应。</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七)、积极做好国企改革，确保社会稳定。我局已经先后完成了市物资总公司和市糖酒副食品公司的企业改制，在市政府及有关部门的大力支持下，处理好了原市糖酒副食品公司职工的群体上访。目前正对市五交化公司改制扫尾方案进行修改完善，为市五交化公司的改制扫尾处理遗留问题做好了充分准备。</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三、存在的问题及原因</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利用外资增长缓慢。主要原因:一是在引进战略投资者上没有突破，项目小，投资规模小;二是发展严重不平衡，今年上半年慈利桑植两县利用外资为0;三是工业招商没有进展;四是项目谈得多、签约多，开工建设少、资金到位少;五是招商引资的基础工作很不扎实。六是流通产业结构性调整滞后，发展后劲严重不足;七是投资环境和流通业发展环境欠优。</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今年社会消费品零售总额增幅较低。主要原因:一是旅游因灾重创，加之其他方面的原因，导致游客减少，这是严重影响社会消费品零售总额增幅不大的重要原因;二是城镇居民购买力下降。由于银根紧缩，物价上涨，导致城镇居民购买力下降。据统计，20__年1-6月，城镇居民可支配收入5509元，比去年同期的5478元仅增长0、56%，而物价指数却上涨10、4%，实际收入减少9、84%;人均消费性支出3880元，虽比上年增长15、68%，但减除物价上涨幅度，仅增长5、28%。三是由于市城区修路影响，导致部分统计样本企业经营额不正常，因而统计数据也可能存在一定偏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外贸出口工作亟待进一步加强。一是外贸企业后劲不足，加工贸易发展有待加强;二是外贸人才缺乏，市场开拓和自行报关等方面还存在不足;三是我市与外贸出口相关的通关、商检等工作暂时跟不上，在一定程度上对外贸出口有一些影响。</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四、对策及建议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进一步抓好外经外贸工作，确保外贸进出口总额和外派劳务任务的完成。一是以市区县工业园为主阵地，积极承接东部沿海产业转移，引导发展加工贸易;二是组织外贸企业参加境外展销活动，努力拓展国际市场;三是加强业务培训，努力实现间接出口向直接出口的转变。四是积极努力争取我市通关、商检等工作早日正常开展。</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(二)采取行之有效的措施，切实抓好招商引资工作。一是增强紧迫感，树立抢商抢资意识。充分利用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湘商大会</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珠洽会</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和我市20周年庆典等活动，重点推介我市的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澧水风光带</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等重大招商项目;二是与市台办、市经济开发区一道，加强与上海台协、昆山台协的联系，促进台商来考察，开展项目对接;三是抓好</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沪洽周</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已签约项目的跟踪服务，搞好项目审批落地，促进外资到位和项目开工;对签定的</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协议</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项目，抓好后续跟进;四是建议建立重大项目领导责任制。全市的重大项目由市级领导抓，区县的项目由区县级领导抓，并做到一个项目有一个领导抓，要保证项目落地开工;五是加强项目调度，促进资金到位，尽最大努力，保证全年利用外资任务的超额完成。</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(三)扩大内需，促进消费，努力完成社会消费品零售总额任务。一是继续抓好流通基础设施建设和</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万村千乡</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市场建设工程实施，进一步改善城乡流通环境;二是大力开展活动促销。抓住奥运会、旅游节、建市20周年庆典时机，大力开展促销活动，促进消费;三是进一步加大投资，拉动基本建设消费。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评估报告范文精选篇三</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一、计量器具生产、维修、销售环节风险较低</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既无计量器具生产制造企业，又无计量器具修理企业，计量器具销售企业能较好的按照相关要求开展经营活动，风险隐患较低。</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二、计量器具使用环节存在一定的风险</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加强了对定量包装商品计量监督检查和加油站的计量监管，积极开展专项计量监督检查取得了一定的成绩，社会民生计量领域强制检定率明显上升、群众诚信计量意识明显提高、民生计量领域违法违规行为明显降低。但营造和谐稳定计量环境，构建计量长效机制是长期的工程，目前集贸市场、乡镇医疗机构是我县计量风险较为突出的环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集贸市场计量器具检定率未得到有效提升。集贸市场经营者多属于弱势群体受教育程度普遍较低，对检定工作有较大的抵触情绪，想方设法抵制、逃避检定的现象时有发生，导致集贸市场计量器具检定率、合格率总体不高。</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部分乡镇医疗卫生机构计量意识不强。对医用计量器具给诊断病情带来的后果和危害认识不足，加之经费紧张，给检定工作开展带来较大阻力。由于医疗卫生计量器具检定率偏低，医学诊疗准确性和科学性难以保障。</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3、高科技计量作弊难以及时发现。由于经费问题基层计量行政机构执法手段一直较为落后，使部分高科技计量作弊行为难以及时发现，防不可防的尴尬局面日益凸显。</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三、计量器具进口环节风险较低</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我县无计量器具进口商或经销商，风险隐患较低。</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四、计量技术机构和计量行政监管风险因素较低</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根据质检总局、省、市局计量工作要求，我局陆续开展了</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技术机构检测整顿</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计量检定服务窗口建设</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等多项活动，严格依据质检系统检验检测机构能力建设基本要求开展达标创建，投入资金更新软硬件配备，开展人员考核练兵及教育培训，并以自查及互查等方式开展自查自纠，较好的解决了人员责任意识不到位、管理制度不完善、技术保障水平较弱、人员素质较低、服务质量不高等诸多问题，技术机构能够严格按照工作标准、检定流程及业务范围开展计量检定、校准工作。与此同时，我局行政机关严格按照审批程序、期限、条件等开展计量行政审批项目工作;狠抓工作作风，有效杜绝了因监管人员责任意识不到位以及其他影响行政监管效率的因素而导致监管缺位、证后监管力度不够等问题。</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五、应对措施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针对风险分析中发现的计量器具使用单位存在的问题和行政监管部门执法力度较弱等诸多问题，要增强计量管理意思。健全和完善风险研判处置机制，防范风险管理程序和措施。按照高、中、低档风险等级，建立应对处置预案，坚决整治各类计量风险隐患，严厉打击计量违法行为。主要有以下几个措施:</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1、强化宣传。充分利用新闻媒体，借助质量月、</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3、15消费者权益保护日</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5、20世界计量日</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等宣传平台，向计量器具的使用单位和广大社会公众广泛宣传民生计量有关法律法规，普及民生计量基础知识，努力提高经营者计量法律意识和诚信意识，增强行业自律行为，提高广大消费者计量维权意识，营造全社会关注民生计量、重视民生计量的良好氛围。</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2、争取支持。积极争取省市局和政府支持，划拨专项资金对农贸市场计量器具开展免费检定，彻底扭转集贸市场在用衡器来源复杂、易于作弊、不便管理的局面，争取通过上门服务，使全县城乡集贸市场在用衡器受检率、合格率大幅提升，为人民营造一个诚实守信、公平公正的购物环境。</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3、部门合作。继续加大对集贸市场、医疗卫生单位、民用三表、眼镜行业等与老百姓生活密切相关领域的监督检查力度，强化计量器具和商品量的计量监管，督促各业主(单位)严格遵守计量法律法规及有关规定。保证计量器具和商品量的准确。坚持专项监督检查和日常监管相结合，不断提高民生计量工作监管的有效性。特别是针对垄断行业和一些企业的不配合甚至拒检行为，通过加强部门沟通，依法稳步推进等办法，打破计量强检工作受阻的僵局。</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4、推动计量诚信体系建设。诚信计量。重点是</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诚</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字，积极开展推进</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推进诚信计量、建设和谐城乡</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活动。率先在集贸市场、医疗卫生单位、民用三表、餐饮场所、超市商店、眼镜行业等与老百姓生活密切相关的重要领域推进诚信计量体系建设，积极推行&amp;lt;商业服务业诚信计量行为规范&gt;，倡导各行业建立健全计量管理制度、诚信计量承诺制度、计量投诉处理制度、计量不足先行赔偿制度等，与商家业主签订</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诚信计量承诺书</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向社会公布计量维权举报电话，方便消费者对计量违法行为的投诉和举报，提高社会各界参与计量监督工作的积极性、主动性。通过道德约束和法律法规双管齐下，培育一批计量诚信示范单位，树立一批诚信计量先进典型，以点带面，推动诚信计量。</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，倡导各行业建立健全计量管理制度、诚信计量承诺制度、计量投诉处理制度、计量不足先行赔偿制度等，与商家业主签订</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诚信计量承诺书</w:t>
      </w:r>
      <w:r>
        <w:rPr>
          <w:rFonts w:hint="default" w:ascii="宋体" w:hAnsi="宋体"/>
          <w:color w:val="000000"/>
          <w:position w:val="6"/>
          <w:sz w:val="20"/>
          <w:szCs w:val="24"/>
          <w:lang w:val="zh-CN"/>
        </w:rPr>
        <w:t>”</w:t>
      </w:r>
      <w:r>
        <w:rPr>
          <w:rFonts w:hint="eastAsia" w:ascii="宋体" w:hAnsi="宋体"/>
          <w:color w:val="000000"/>
          <w:position w:val="6"/>
          <w:sz w:val="20"/>
          <w:szCs w:val="24"/>
          <w:lang w:val="zh-CN"/>
        </w:rPr>
        <w:t>，向社会公布计量维权举报电话，方便消费者对计量违法行为的投诉和举报，提高社会各界参与计量监督工作的积极性、主动性。通过道德约束和法律法规双管齐下，培育一批计量诚信示范单位，树立一批诚信计量先进典型，以点带面，推动诚信计量。</w:t>
      </w:r>
    </w:p>
    <w:p>
      <w:pPr>
        <w:spacing w:beforeLines="0" w:afterLines="0"/>
        <w:jc w:val="left"/>
        <w:rPr>
          <w:rFonts w:hint="eastAsia" w:ascii="宋体" w:hAnsi="宋体"/>
          <w:color w:val="000000"/>
          <w:position w:val="6"/>
          <w:sz w:val="20"/>
          <w:szCs w:val="24"/>
          <w:lang w:val="zh-CN"/>
        </w:rPr>
      </w:pPr>
    </w:p>
    <w:p>
      <w:bookmarkStart w:id="0" w:name="_GoBack"/>
      <w:bookmarkEnd w:id="0"/>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0A61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2021-04-14T07:41:00Z</dcterms:created>
  <dc:creator>Administrator</dc:creator>
  <cp:lastModifiedBy>Administrator</cp:lastModifiedBy>
  <dcterms:modified xsi:type="dcterms:W3CDTF">2021-04-14T07:44:18Z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BFC31D96178A4C56932CC5D25A3132B2</vt:lpwstr>
  </property>
</Properties>
</file>